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9BC" w:rsidRDefault="00C338F5">
      <w:pPr>
        <w:pStyle w:val="Header"/>
        <w:tabs>
          <w:tab w:val="clear" w:pos="9072"/>
          <w:tab w:val="right" w:pos="9000"/>
        </w:tabs>
        <w:spacing w:line="264" w:lineRule="auto"/>
        <w:jc w:val="both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</w:t>
      </w:r>
      <w:r>
        <w:rPr>
          <w:rFonts w:ascii="Times New Roman" w:eastAsia="SimSun" w:hAnsi="Times New Roman"/>
          <w:sz w:val="24"/>
          <w:lang w:eastAsia="zh-CN"/>
        </w:rPr>
        <w:t>6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  <w:t xml:space="preserve">  </w:t>
      </w:r>
      <w:r w:rsidR="009074AE" w:rsidRPr="009074AE">
        <w:rPr>
          <w:rFonts w:ascii="Times New Roman" w:eastAsia="SimSun" w:hAnsi="Times New Roman"/>
          <w:sz w:val="24"/>
          <w:lang w:eastAsia="zh-CN"/>
        </w:rPr>
        <w:t>R1-2400597</w:t>
      </w:r>
    </w:p>
    <w:p w:rsidR="004779BC" w:rsidRDefault="00C338F5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lang w:eastAsia="ja-JP"/>
        </w:rPr>
      </w:pPr>
      <w:r>
        <w:rPr>
          <w:rFonts w:eastAsia="MS Mincho"/>
          <w:b/>
          <w:bCs/>
          <w:sz w:val="24"/>
          <w:lang w:eastAsia="ja-JP"/>
        </w:rPr>
        <w:t>Athens, Greece, February 26</w:t>
      </w:r>
      <w:r>
        <w:rPr>
          <w:rFonts w:eastAsia="Malgun Gothic"/>
          <w:b/>
          <w:bCs/>
          <w:sz w:val="24"/>
          <w:vertAlign w:val="superscript"/>
          <w:lang w:eastAsia="ko-KR"/>
        </w:rPr>
        <w:t>th</w:t>
      </w:r>
      <w:r>
        <w:rPr>
          <w:rFonts w:eastAsia="MS Mincho"/>
          <w:b/>
          <w:bCs/>
          <w:sz w:val="24"/>
          <w:lang w:eastAsia="ja-JP"/>
        </w:rPr>
        <w:t xml:space="preserve"> </w:t>
      </w:r>
      <w:r>
        <w:rPr>
          <w:b/>
          <w:bCs/>
          <w:sz w:val="24"/>
        </w:rPr>
        <w:t>– March 1</w:t>
      </w:r>
      <w:r>
        <w:rPr>
          <w:b/>
          <w:bCs/>
          <w:sz w:val="24"/>
          <w:vertAlign w:val="superscript"/>
        </w:rPr>
        <w:t>st</w:t>
      </w:r>
      <w:r>
        <w:rPr>
          <w:rFonts w:eastAsia="MS Mincho"/>
          <w:b/>
          <w:bCs/>
          <w:sz w:val="24"/>
          <w:lang w:eastAsia="ja-JP"/>
        </w:rPr>
        <w:t>, 2024</w:t>
      </w:r>
    </w:p>
    <w:p w:rsidR="004779BC" w:rsidRDefault="004779BC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4779BC" w:rsidRDefault="00C338F5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4779BC" w:rsidRDefault="00C338F5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multi-carrier enhancement</w:t>
      </w:r>
    </w:p>
    <w:p w:rsidR="004779BC" w:rsidRDefault="00C338F5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8</w:t>
      </w:r>
      <w:r>
        <w:rPr>
          <w:rFonts w:ascii="Times New Roman" w:eastAsia="SimSun" w:hAnsi="Times New Roman"/>
          <w:szCs w:val="20"/>
          <w:lang w:eastAsia="zh-CN"/>
        </w:rPr>
        <w:t>.1</w:t>
      </w:r>
      <w:r>
        <w:rPr>
          <w:rFonts w:ascii="Times New Roman" w:eastAsia="SimSun" w:hAnsi="Times New Roman"/>
          <w:szCs w:val="20"/>
          <w:lang w:eastAsia="zh-CN"/>
        </w:rPr>
        <w:t>2</w:t>
      </w:r>
      <w:r>
        <w:rPr>
          <w:rFonts w:ascii="Times New Roman" w:eastAsia="SimSun" w:hAnsi="Times New Roman"/>
          <w:szCs w:val="20"/>
          <w:lang w:eastAsia="zh-CN"/>
        </w:rPr>
        <w:t>.</w:t>
      </w:r>
      <w:r>
        <w:rPr>
          <w:rFonts w:ascii="Times New Roman" w:eastAsia="SimSun" w:hAnsi="Times New Roman"/>
          <w:szCs w:val="20"/>
          <w:lang w:eastAsia="zh-CN"/>
        </w:rPr>
        <w:t>4</w:t>
      </w:r>
    </w:p>
    <w:p w:rsidR="004779BC" w:rsidRDefault="00C338F5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4779BC" w:rsidRDefault="004779BC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DocumentFor"/>
      <w:bookmarkStart w:id="1" w:name="Source"/>
      <w:bookmarkEnd w:id="0"/>
      <w:bookmarkEnd w:id="1"/>
    </w:p>
    <w:p w:rsidR="004779BC" w:rsidRDefault="00C338F5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4779BC" w:rsidRDefault="00C338F5" w:rsidP="009074AE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</w:t>
      </w:r>
      <w:r>
        <w:rPr>
          <w:rStyle w:val="apple-converted-space"/>
          <w:rFonts w:eastAsiaTheme="minorEastAsia"/>
          <w:lang w:eastAsia="zh-CN"/>
        </w:rPr>
        <w:t>elaborates our views on UE features for Rel-18 multi-carrier enhancement, focusing on multi-cell scheduling with single DCI.</w:t>
      </w:r>
    </w:p>
    <w:p w:rsidR="004779BC" w:rsidRDefault="00C338F5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4779BC" w:rsidRDefault="00C338F5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 xml:space="preserve">FG49-1/49-2: </w:t>
      </w: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Scheduling cell not scheduled by different cell</w:t>
      </w: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Both of the following cross-carrier scheduling cases were n</w:t>
      </w:r>
      <w:r>
        <w:rPr>
          <w:rStyle w:val="apple-converted-space"/>
          <w:szCs w:val="20"/>
          <w:lang w:eastAsia="ja-JP"/>
        </w:rPr>
        <w:t xml:space="preserve">ot discussed in Rel-18 WI phase: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Case-1: The scheduling cell not in any of its scheduled cell set is scheduled by another cell.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Case-2: The scheduling cell that also appears in one of its scheduled cell set is scheduled by another cell. </w:t>
      </w: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The following RAN1 agreement made in maintenance phase excludes Case-2. </w:t>
      </w:r>
    </w:p>
    <w:tbl>
      <w:tblPr>
        <w:tblStyle w:val="TableGrid"/>
        <w:tblW w:w="0" w:type="auto"/>
        <w:tblLook w:val="04A0"/>
      </w:tblPr>
      <w:tblGrid>
        <w:gridCol w:w="9300"/>
      </w:tblGrid>
      <w:tr w:rsidR="004779BC">
        <w:tc>
          <w:tcPr>
            <w:tcW w:w="9300" w:type="dxa"/>
          </w:tcPr>
          <w:p w:rsidR="004779BC" w:rsidRDefault="00C338F5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4779BC" w:rsidRDefault="00C338F5">
            <w:pPr>
              <w:overflowPunct w:val="0"/>
              <w:snapToGrid w:val="0"/>
              <w:rPr>
                <w:rStyle w:val="apple-converted-space"/>
                <w:szCs w:val="20"/>
                <w:lang w:eastAsia="ja-JP"/>
              </w:rPr>
            </w:pPr>
            <w:r>
              <w:rPr>
                <w:rFonts w:eastAsia="Malgun Gothic"/>
                <w:bCs/>
                <w:lang w:eastAsia="zh-CN"/>
              </w:rPr>
              <w:t xml:space="preserve">For a serving cell included in </w:t>
            </w:r>
            <w:r>
              <w:rPr>
                <w:rFonts w:eastAsia="Malgun Gothic"/>
                <w:bCs/>
                <w:i/>
                <w:iCs/>
                <w:lang w:eastAsia="zh-CN"/>
              </w:rPr>
              <w:t>MC-DCI-SetofCells</w:t>
            </w:r>
            <w:r>
              <w:rPr>
                <w:rFonts w:eastAsia="Malgun Gothic"/>
                <w:bCs/>
                <w:lang w:eastAsia="zh-CN"/>
              </w:rPr>
              <w:t>, a UE does not expect to be configured to monitor PDCCH candidates on more than one scheduling cell for detection of DCI for</w:t>
            </w:r>
            <w:r>
              <w:rPr>
                <w:rFonts w:eastAsia="Malgun Gothic"/>
                <w:bCs/>
                <w:lang w:eastAsia="zh-CN"/>
              </w:rPr>
              <w:t>mats scheduling the serving cell.</w:t>
            </w:r>
          </w:p>
        </w:tc>
      </w:tr>
    </w:tbl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For the Case-1, first of all, this scheduling cell cannot be a SCell, because a SCell can never be the scheduling cell and scheduled cell (by another cell) at the same time. Further, because the size of scheduled cell set</w:t>
      </w:r>
      <w:r>
        <w:rPr>
          <w:rStyle w:val="apple-converted-space"/>
          <w:szCs w:val="20"/>
          <w:lang w:eastAsia="ja-JP"/>
        </w:rPr>
        <w:t xml:space="preserve"> is no smaller than 2, Case-1 goes beyond Rel-17 DSS where PSCell (when scheduled by another SCell) can only schedule itself (instead of at least two scheduled cells). So, Case-1 cannot be considered as a combination of Rel-17 DSS and Rel-18 multi-cell sch</w:t>
      </w:r>
      <w:r>
        <w:rPr>
          <w:rStyle w:val="apple-converted-space"/>
          <w:szCs w:val="20"/>
          <w:lang w:eastAsia="ja-JP"/>
        </w:rPr>
        <w:t xml:space="preserve">eduling via single DCI.     </w:t>
      </w: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1</w:t>
      </w:r>
      <w:r>
        <w:rPr>
          <w:rStyle w:val="apple-converted-space"/>
          <w:b/>
          <w:bCs/>
          <w:i/>
          <w:iCs/>
          <w:szCs w:val="20"/>
          <w:lang w:eastAsia="ja-JP"/>
        </w:rPr>
        <w:t>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>UE is not expected to be configured with another cell to monitor PDCCH candidates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same note is added to FG49-1b and FG49-2b. </w:t>
      </w:r>
    </w:p>
    <w:p w:rsidR="004779BC" w:rsidRDefault="004779BC">
      <w:pPr>
        <w:spacing w:after="120"/>
        <w:rPr>
          <w:rStyle w:val="apple-converted-space"/>
          <w:b/>
          <w:i/>
          <w:szCs w:val="20"/>
          <w:u w:val="single"/>
        </w:rPr>
      </w:pPr>
    </w:p>
    <w:p w:rsidR="004779BC" w:rsidRDefault="00C338F5">
      <w:pPr>
        <w:spacing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FG49-2/2b: Whether to keep “Up to” in component-9 of FG49-2/2b</w:t>
      </w:r>
    </w:p>
    <w:p w:rsidR="004779BC" w:rsidRDefault="00C338F5">
      <w:pPr>
        <w:spacing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In general, UE capability should define the maximum of what UE can support, instead of some individual supporting case. Therefore “Up to” should</w:t>
      </w:r>
      <w:r>
        <w:rPr>
          <w:rStyle w:val="apple-converted-space"/>
          <w:szCs w:val="20"/>
          <w:lang w:eastAsia="ja-JP"/>
        </w:rPr>
        <w:t xml:space="preserve"> be kept. </w:t>
      </w:r>
    </w:p>
    <w:p w:rsidR="004779BC" w:rsidRDefault="00C338F5">
      <w:pPr>
        <w:spacing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2: Change “[Up to]” to “Up to” in component 9 of FG49-2/2b.</w:t>
      </w:r>
    </w:p>
    <w:p w:rsidR="004779BC" w:rsidRDefault="004779BC">
      <w:pPr>
        <w:spacing w:after="120"/>
        <w:rPr>
          <w:rStyle w:val="apple-converted-space"/>
          <w:b/>
          <w:i/>
          <w:szCs w:val="20"/>
          <w:u w:val="single"/>
        </w:rPr>
      </w:pPr>
    </w:p>
    <w:p w:rsidR="004779BC" w:rsidRDefault="00C338F5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FG49-3x/3y</w:t>
      </w:r>
    </w:p>
    <w:p w:rsidR="004779BC" w:rsidRDefault="00C338F5">
      <w:pPr>
        <w:spacing w:after="120"/>
        <w:rPr>
          <w:rStyle w:val="apple-converted-space"/>
          <w:bCs/>
          <w:iCs/>
          <w:szCs w:val="20"/>
        </w:rPr>
      </w:pPr>
      <w:r>
        <w:rPr>
          <w:rStyle w:val="apple-converted-space"/>
          <w:bCs/>
          <w:iCs/>
          <w:szCs w:val="20"/>
        </w:rPr>
        <w:t xml:space="preserve">It is natural for the advanced UE capability to have the basic UE capability as prerequisites, and to have the same applicable granularity as the prerequisite. </w:t>
      </w:r>
    </w:p>
    <w:p w:rsidR="004779BC" w:rsidRDefault="00C338F5">
      <w:pPr>
        <w:spacing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3: For FG49-3x/3y,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after="120"/>
        <w:ind w:left="80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FG49-3x has a prerequisite as “any of {FG49-1, FG49-1b}”, and a “per BC” granularity.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after="120"/>
        <w:ind w:left="80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FG49-3y has a prerequisite as “any of {FG49-2, FG49-2b}”, and a “per BC” granularity.</w:t>
      </w:r>
    </w:p>
    <w:p w:rsidR="004779BC" w:rsidRDefault="004779BC">
      <w:pPr>
        <w:spacing w:after="120"/>
        <w:rPr>
          <w:rStyle w:val="apple-converted-space"/>
          <w:b/>
          <w:i/>
          <w:szCs w:val="20"/>
          <w:u w:val="single"/>
        </w:rPr>
      </w:pPr>
    </w:p>
    <w:p w:rsidR="004779BC" w:rsidRDefault="00C338F5">
      <w:pPr>
        <w:spacing w:after="120"/>
        <w:rPr>
          <w:rStyle w:val="apple-converted-space"/>
          <w:b/>
          <w:i/>
          <w:szCs w:val="20"/>
          <w:u w:val="single"/>
        </w:rPr>
      </w:pPr>
      <w:r>
        <w:rPr>
          <w:rStyle w:val="apple-converted-space"/>
          <w:b/>
          <w:i/>
          <w:szCs w:val="20"/>
          <w:u w:val="single"/>
        </w:rPr>
        <w:t xml:space="preserve">FG49-4a/4b/4c/4d: </w:t>
      </w:r>
      <w:r>
        <w:rPr>
          <w:rStyle w:val="apple-converted-space"/>
          <w:b/>
          <w:i/>
          <w:szCs w:val="20"/>
          <w:u w:val="single"/>
        </w:rPr>
        <w:t>Updates of feature type</w:t>
      </w:r>
      <w:r>
        <w:rPr>
          <w:rStyle w:val="apple-converted-space"/>
          <w:b/>
          <w:i/>
          <w:szCs w:val="20"/>
          <w:u w:val="single"/>
        </w:rPr>
        <w:t xml:space="preserve"> granularity</w:t>
      </w:r>
      <w:r>
        <w:rPr>
          <w:rStyle w:val="apple-converted-space"/>
          <w:b/>
          <w:i/>
          <w:szCs w:val="20"/>
          <w:u w:val="single"/>
        </w:rPr>
        <w:t xml:space="preserve"> </w:t>
      </w:r>
      <w:r>
        <w:rPr>
          <w:rStyle w:val="apple-converted-space"/>
          <w:b/>
          <w:i/>
          <w:szCs w:val="20"/>
          <w:u w:val="single"/>
        </w:rPr>
        <w:t>in accordance to RAN2 guidance</w:t>
      </w:r>
    </w:p>
    <w:p w:rsidR="004779BC" w:rsidRDefault="00C338F5">
      <w:pPr>
        <w:tabs>
          <w:tab w:val="left" w:pos="800"/>
        </w:tabs>
        <w:spacing w:before="120" w:after="12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lastRenderedPageBreak/>
        <w:t xml:space="preserve">RAN2 sends </w:t>
      </w:r>
      <w:r>
        <w:rPr>
          <w:rFonts w:eastAsia="MS Gothic"/>
          <w:bCs/>
          <w:iCs/>
          <w:szCs w:val="20"/>
          <w:lang w:eastAsia="ja-JP"/>
        </w:rPr>
        <w:t>a</w:t>
      </w:r>
      <w:r>
        <w:rPr>
          <w:rFonts w:eastAsia="MS Gothic"/>
          <w:bCs/>
          <w:iCs/>
          <w:szCs w:val="20"/>
          <w:lang w:eastAsia="ja-JP"/>
        </w:rPr>
        <w:t xml:space="preserve"> guidance to RAN1 in </w:t>
      </w:r>
      <w:r w:rsidR="004779BC">
        <w:rPr>
          <w:rFonts w:eastAsia="MS Gothic"/>
          <w:bCs/>
          <w:iCs/>
          <w:szCs w:val="20"/>
          <w:lang w:eastAsia="ja-JP"/>
        </w:rPr>
        <w:fldChar w:fldCharType="begin"/>
      </w:r>
      <w:r>
        <w:rPr>
          <w:rFonts w:eastAsia="MS Gothic"/>
          <w:bCs/>
          <w:iCs/>
          <w:szCs w:val="20"/>
          <w:lang w:eastAsia="ja-JP"/>
        </w:rPr>
        <w:instrText xml:space="preserve"> REF _Ref2019110949 \r \h </w:instrText>
      </w:r>
      <w:r w:rsidR="004779BC">
        <w:rPr>
          <w:rFonts w:eastAsia="MS Gothic"/>
          <w:bCs/>
          <w:iCs/>
          <w:szCs w:val="20"/>
          <w:lang w:eastAsia="ja-JP"/>
        </w:rPr>
      </w:r>
      <w:r w:rsidR="004779BC">
        <w:rPr>
          <w:rFonts w:eastAsia="MS Gothic"/>
          <w:bCs/>
          <w:iCs/>
          <w:szCs w:val="20"/>
          <w:lang w:eastAsia="ja-JP"/>
        </w:rPr>
        <w:fldChar w:fldCharType="separate"/>
      </w:r>
      <w:r>
        <w:rPr>
          <w:rFonts w:eastAsia="MS Gothic"/>
          <w:bCs/>
          <w:iCs/>
          <w:szCs w:val="20"/>
          <w:lang w:eastAsia="ja-JP"/>
        </w:rPr>
        <w:t>[2]</w:t>
      </w:r>
      <w:r w:rsidR="004779BC">
        <w:rPr>
          <w:rFonts w:eastAsia="MS Gothic"/>
          <w:bCs/>
          <w:iCs/>
          <w:szCs w:val="20"/>
          <w:lang w:eastAsia="ja-JP"/>
        </w:rPr>
        <w:fldChar w:fldCharType="end"/>
      </w:r>
      <w:r>
        <w:rPr>
          <w:rFonts w:eastAsia="MS Gothic"/>
          <w:bCs/>
          <w:iCs/>
          <w:szCs w:val="20"/>
          <w:lang w:eastAsia="ja-JP"/>
        </w:rPr>
        <w:t xml:space="preserve"> for UE feature/capability definitions. One of the guidance rules is to “</w:t>
      </w:r>
      <w:r>
        <w:rPr>
          <w:b/>
          <w:bCs/>
          <w:color w:val="000000"/>
        </w:rPr>
        <w:t>Avoid defining capabil</w:t>
      </w:r>
      <w:r>
        <w:rPr>
          <w:b/>
          <w:bCs/>
          <w:color w:val="000000"/>
        </w:rPr>
        <w:t>ities with pre-requisite on a finer granularity</w:t>
      </w:r>
      <w:r>
        <w:rPr>
          <w:rFonts w:eastAsia="MS Gothic"/>
          <w:bCs/>
          <w:iCs/>
          <w:szCs w:val="20"/>
          <w:lang w:eastAsia="ja-JP"/>
        </w:rPr>
        <w:t xml:space="preserve">”. Unfortunately the current MCE UE feature structure agreed in </w:t>
      </w:r>
      <w:r>
        <w:rPr>
          <w:rFonts w:eastAsia="MS Gothic"/>
          <w:bCs/>
          <w:iCs/>
          <w:szCs w:val="20"/>
          <w:lang w:eastAsia="ja-JP"/>
        </w:rPr>
        <w:t>an</w:t>
      </w:r>
      <w:r>
        <w:rPr>
          <w:rFonts w:eastAsia="MS Gothic"/>
          <w:bCs/>
          <w:iCs/>
          <w:szCs w:val="20"/>
          <w:lang w:eastAsia="ja-JP"/>
        </w:rPr>
        <w:t xml:space="preserve"> </w:t>
      </w:r>
      <w:r>
        <w:rPr>
          <w:rFonts w:eastAsia="MS Gothic"/>
          <w:bCs/>
          <w:iCs/>
          <w:szCs w:val="20"/>
          <w:lang w:eastAsia="ja-JP"/>
        </w:rPr>
        <w:t>earlier</w:t>
      </w:r>
      <w:r w:rsidR="000C4CAA">
        <w:rPr>
          <w:rFonts w:eastAsia="MS Gothic"/>
          <w:bCs/>
          <w:iCs/>
          <w:szCs w:val="20"/>
          <w:lang w:eastAsia="ja-JP"/>
        </w:rPr>
        <w:t xml:space="preserve"> RAN1 meeting violates this guidance</w:t>
      </w:r>
      <w:r>
        <w:rPr>
          <w:rFonts w:eastAsia="MS Gothic"/>
          <w:bCs/>
          <w:iCs/>
          <w:szCs w:val="20"/>
          <w:lang w:eastAsia="ja-JP"/>
        </w:rPr>
        <w:t xml:space="preserve"> in that: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>FG49-1 can be the prerequisite of FG 49-4a, where the granularity of FG49-1 (per BC) is fine</w:t>
      </w:r>
      <w:r>
        <w:rPr>
          <w:rFonts w:eastAsia="MS Gothic"/>
          <w:bCs/>
          <w:iCs/>
          <w:szCs w:val="20"/>
          <w:lang w:eastAsia="ja-JP"/>
        </w:rPr>
        <w:t xml:space="preserve">r than that of FG49-4a (per UE)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FG49-2 can be the prerequisite of FG 49-4b, where the granularity of FG49-2 (per BC) is finer than that of FG49-4b (per UE) 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>One of {FG49-1, FG49-2} can be prerequisite of FG49-4c and FG49-4d, where the granularity of FG49</w:t>
      </w:r>
      <w:r>
        <w:rPr>
          <w:rFonts w:eastAsia="MS Gothic"/>
          <w:bCs/>
          <w:iCs/>
          <w:szCs w:val="20"/>
          <w:lang w:eastAsia="ja-JP"/>
        </w:rPr>
        <w:t xml:space="preserve">-1/FG49-2 (per BC) is finer than that of FG49-4c/FG49-4d (per UE). </w:t>
      </w:r>
    </w:p>
    <w:p w:rsidR="004779BC" w:rsidRDefault="00C338F5">
      <w:pPr>
        <w:tabs>
          <w:tab w:val="left" w:pos="800"/>
        </w:tabs>
        <w:spacing w:before="120" w:after="12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There were proposals in the past RAN1 meetings to correct this issue, including: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Option-1: </w:t>
      </w:r>
      <w:r>
        <w:rPr>
          <w:rFonts w:eastAsia="MS Gothic"/>
          <w:bCs/>
          <w:iCs/>
          <w:szCs w:val="20"/>
          <w:lang w:eastAsia="ja-JP"/>
        </w:rPr>
        <w:t xml:space="preserve"> Change the type granularity </w:t>
      </w:r>
      <w:r>
        <w:rPr>
          <w:rFonts w:eastAsia="MS Gothic"/>
          <w:bCs/>
          <w:iCs/>
          <w:szCs w:val="20"/>
          <w:lang w:eastAsia="ja-JP"/>
        </w:rPr>
        <w:t xml:space="preserve">of </w:t>
      </w:r>
      <w:r>
        <w:rPr>
          <w:rFonts w:eastAsia="MS Gothic"/>
          <w:bCs/>
          <w:iCs/>
          <w:szCs w:val="20"/>
          <w:lang w:eastAsia="ja-JP"/>
        </w:rPr>
        <w:t>FG49-4a/4b/4c/4d</w:t>
      </w:r>
      <w:r>
        <w:rPr>
          <w:rFonts w:eastAsia="MS Gothic"/>
          <w:bCs/>
          <w:iCs/>
          <w:szCs w:val="20"/>
          <w:lang w:eastAsia="ja-JP"/>
        </w:rPr>
        <w:t xml:space="preserve"> </w:t>
      </w:r>
      <w:r>
        <w:rPr>
          <w:rFonts w:eastAsia="MS Gothic"/>
          <w:bCs/>
          <w:iCs/>
          <w:szCs w:val="20"/>
          <w:lang w:eastAsia="ja-JP"/>
        </w:rPr>
        <w:t>from “per UE” to “per BC”</w:t>
      </w:r>
      <w:r>
        <w:rPr>
          <w:rFonts w:eastAsia="MS Gothic"/>
          <w:bCs/>
          <w:iCs/>
          <w:szCs w:val="20"/>
          <w:lang w:eastAsia="ja-JP"/>
        </w:rPr>
        <w:t xml:space="preserve">, without any additional note.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Option-2: </w:t>
      </w:r>
      <w:r>
        <w:rPr>
          <w:rFonts w:eastAsia="MS Gothic"/>
          <w:bCs/>
          <w:iCs/>
          <w:szCs w:val="20"/>
          <w:lang w:eastAsia="ja-JP"/>
        </w:rPr>
        <w:t xml:space="preserve"> Change the type granularity </w:t>
      </w:r>
      <w:r>
        <w:rPr>
          <w:rFonts w:eastAsia="MS Gothic"/>
          <w:bCs/>
          <w:iCs/>
          <w:szCs w:val="20"/>
          <w:lang w:eastAsia="ja-JP"/>
        </w:rPr>
        <w:t xml:space="preserve">of </w:t>
      </w:r>
      <w:r>
        <w:rPr>
          <w:rFonts w:eastAsia="MS Gothic"/>
          <w:bCs/>
          <w:iCs/>
          <w:szCs w:val="20"/>
          <w:lang w:eastAsia="ja-JP"/>
        </w:rPr>
        <w:t>FG49-4a/4b/4c/4d</w:t>
      </w:r>
      <w:r>
        <w:rPr>
          <w:rFonts w:eastAsia="MS Gothic"/>
          <w:bCs/>
          <w:iCs/>
          <w:szCs w:val="20"/>
          <w:lang w:eastAsia="ja-JP"/>
        </w:rPr>
        <w:t xml:space="preserve"> </w:t>
      </w:r>
      <w:r>
        <w:rPr>
          <w:rFonts w:eastAsia="MS Gothic"/>
          <w:bCs/>
          <w:iCs/>
          <w:szCs w:val="20"/>
          <w:lang w:eastAsia="ja-JP"/>
        </w:rPr>
        <w:t>from “per UE” to “per BC”</w:t>
      </w:r>
      <w:r>
        <w:rPr>
          <w:rFonts w:eastAsia="MS Gothic"/>
          <w:bCs/>
          <w:iCs/>
          <w:szCs w:val="20"/>
          <w:lang w:eastAsia="ja-JP"/>
        </w:rPr>
        <w:t>, and add a note stating “</w:t>
      </w:r>
      <w:r>
        <w:rPr>
          <w:i/>
          <w:iCs/>
          <w:szCs w:val="21"/>
        </w:rPr>
        <w:t>UE supporting this FG must report the support of this FG for all the BCs reported in the prerequisite FGs</w:t>
      </w:r>
      <w:r>
        <w:rPr>
          <w:rFonts w:eastAsia="MS Gothic"/>
          <w:bCs/>
          <w:iCs/>
          <w:szCs w:val="20"/>
          <w:lang w:eastAsia="ja-JP"/>
        </w:rPr>
        <w:t>”. This i</w:t>
      </w:r>
      <w:r>
        <w:rPr>
          <w:rFonts w:eastAsia="MS Gothic"/>
          <w:bCs/>
          <w:iCs/>
          <w:szCs w:val="20"/>
          <w:lang w:eastAsia="ja-JP"/>
        </w:rPr>
        <w:t>s a way to meet RAN2 guidance but meanwhile to effectively keep the earlier RAN1 agreement on a “per-UE” granularity.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Option-3: Remove FG49-1/1b/2/2b from prerequisite of </w:t>
      </w:r>
      <w:r>
        <w:rPr>
          <w:rFonts w:eastAsia="MS Gothic"/>
          <w:bCs/>
          <w:iCs/>
          <w:szCs w:val="20"/>
          <w:lang w:eastAsia="ja-JP"/>
        </w:rPr>
        <w:t>FG49-4a/4b/4c/4d</w:t>
      </w:r>
      <w:r>
        <w:rPr>
          <w:rFonts w:eastAsia="MS Gothic"/>
          <w:bCs/>
          <w:iCs/>
          <w:szCs w:val="20"/>
          <w:lang w:eastAsia="ja-JP"/>
        </w:rPr>
        <w:t>. In our view, such prerequisite dependency is not removable from the UE feature framework. F</w:t>
      </w:r>
      <w:r>
        <w:rPr>
          <w:rFonts w:eastAsia="MS Gothic"/>
          <w:bCs/>
          <w:iCs/>
          <w:szCs w:val="20"/>
          <w:lang w:eastAsia="ja-JP"/>
        </w:rPr>
        <w:t xml:space="preserve">or example, without such prerequisite formulations, it is not clear in specification whether or not </w:t>
      </w:r>
      <w:r>
        <w:rPr>
          <w:rFonts w:eastAsia="MS Gothic"/>
          <w:bCs/>
          <w:iCs/>
          <w:szCs w:val="20"/>
          <w:lang w:eastAsia="ja-JP"/>
        </w:rPr>
        <w:t>a UE supporting FG49-1 but not FG49-2/2b should</w:t>
      </w:r>
      <w:r>
        <w:rPr>
          <w:rFonts w:eastAsia="MS Gothic"/>
          <w:bCs/>
          <w:iCs/>
          <w:szCs w:val="20"/>
          <w:lang w:eastAsia="ja-JP"/>
        </w:rPr>
        <w:t xml:space="preserve"> support the second component in FG49-4c and the first component in FG49-4d. It is not a good direction to </w:t>
      </w:r>
      <w:r w:rsidR="000C4CAA">
        <w:rPr>
          <w:rFonts w:eastAsia="MS Gothic"/>
          <w:bCs/>
          <w:iCs/>
          <w:szCs w:val="20"/>
          <w:lang w:eastAsia="ja-JP"/>
        </w:rPr>
        <w:t xml:space="preserve">just </w:t>
      </w:r>
      <w:r>
        <w:rPr>
          <w:rFonts w:eastAsia="MS Gothic"/>
          <w:bCs/>
          <w:iCs/>
          <w:szCs w:val="20"/>
          <w:lang w:eastAsia="ja-JP"/>
        </w:rPr>
        <w:t>rely</w:t>
      </w:r>
      <w:r>
        <w:rPr>
          <w:rFonts w:eastAsia="MS Gothic"/>
          <w:bCs/>
          <w:iCs/>
          <w:szCs w:val="20"/>
          <w:lang w:eastAsia="ja-JP"/>
        </w:rPr>
        <w:t xml:space="preserve"> on </w:t>
      </w:r>
      <w:r w:rsidR="000C4CAA">
        <w:rPr>
          <w:rFonts w:eastAsia="MS Gothic"/>
          <w:bCs/>
          <w:iCs/>
          <w:szCs w:val="20"/>
          <w:lang w:eastAsia="ja-JP"/>
        </w:rPr>
        <w:t>spec-reader</w:t>
      </w:r>
      <w:r>
        <w:rPr>
          <w:rFonts w:eastAsia="MS Gothic"/>
          <w:bCs/>
          <w:iCs/>
          <w:szCs w:val="20"/>
          <w:lang w:eastAsia="ja-JP"/>
        </w:rPr>
        <w:t xml:space="preserve">’s </w:t>
      </w:r>
      <w:r w:rsidR="000C4CAA">
        <w:rPr>
          <w:rFonts w:eastAsia="MS Gothic"/>
          <w:bCs/>
          <w:iCs/>
          <w:szCs w:val="20"/>
          <w:lang w:eastAsia="ja-JP"/>
        </w:rPr>
        <w:t>personal</w:t>
      </w:r>
      <w:r>
        <w:rPr>
          <w:rFonts w:eastAsia="MS Gothic"/>
          <w:bCs/>
          <w:iCs/>
          <w:szCs w:val="20"/>
          <w:lang w:eastAsia="ja-JP"/>
        </w:rPr>
        <w:t xml:space="preserve"> sense to </w:t>
      </w:r>
      <w:r w:rsidR="000C4CAA">
        <w:rPr>
          <w:rFonts w:eastAsia="MS Gothic"/>
          <w:bCs/>
          <w:iCs/>
          <w:szCs w:val="20"/>
          <w:lang w:eastAsia="ja-JP"/>
        </w:rPr>
        <w:t>maintain</w:t>
      </w:r>
      <w:r>
        <w:rPr>
          <w:rFonts w:eastAsia="MS Gothic"/>
          <w:bCs/>
          <w:iCs/>
          <w:szCs w:val="20"/>
          <w:lang w:eastAsia="ja-JP"/>
        </w:rPr>
        <w:t xml:space="preserve"> the prerequisite logic.</w:t>
      </w:r>
    </w:p>
    <w:p w:rsidR="004779BC" w:rsidRDefault="00C338F5">
      <w:pPr>
        <w:tabs>
          <w:tab w:val="left" w:pos="800"/>
        </w:tabs>
        <w:spacing w:before="120" w:after="12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We prefer Option-1, and are also ok to Option-2 if Option-2 is preferred by the majority.      </w:t>
      </w:r>
    </w:p>
    <w:p w:rsidR="004779BC" w:rsidRDefault="00C338F5">
      <w:pPr>
        <w:tabs>
          <w:tab w:val="left" w:pos="800"/>
        </w:tabs>
        <w:spacing w:before="12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4</w:t>
      </w:r>
      <w:r>
        <w:rPr>
          <w:rFonts w:eastAsia="MS Gothic"/>
          <w:b/>
          <w:bCs/>
          <w:i/>
          <w:iCs/>
          <w:szCs w:val="20"/>
          <w:lang w:eastAsia="ja-JP"/>
        </w:rPr>
        <w:t>: Change the type granularity from “per UE” to “per BC” for FG49-4a/4b/4c/4d.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120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If the major</w:t>
      </w:r>
      <w:r>
        <w:rPr>
          <w:rFonts w:eastAsia="MS Gothic"/>
          <w:b/>
          <w:bCs/>
          <w:i/>
          <w:iCs/>
          <w:szCs w:val="20"/>
          <w:lang w:eastAsia="ja-JP"/>
        </w:rPr>
        <w:t>ity preferred, add note to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FG49-4a/4b/4c/4d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>
        <w:rPr>
          <w:b/>
          <w:bCs/>
          <w:i/>
          <w:iCs/>
          <w:szCs w:val="21"/>
        </w:rPr>
        <w:t>UE supporting this FG must report the support of this FG for all the BCs reported in the prerequisite FGs</w:t>
      </w:r>
      <w:r>
        <w:rPr>
          <w:b/>
          <w:bCs/>
          <w:i/>
          <w:iCs/>
          <w:szCs w:val="21"/>
        </w:rPr>
        <w:t>.</w:t>
      </w:r>
    </w:p>
    <w:p w:rsidR="004779BC" w:rsidRDefault="004779B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b/>
          <w:i/>
          <w:szCs w:val="20"/>
          <w:u w:val="single"/>
        </w:rPr>
      </w:pPr>
      <w:r>
        <w:rPr>
          <w:rStyle w:val="apple-converted-space"/>
          <w:b/>
          <w:i/>
          <w:szCs w:val="20"/>
          <w:u w:val="single"/>
        </w:rPr>
        <w:t>FG49-5a/5b</w:t>
      </w: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bCs/>
          <w:iCs/>
          <w:szCs w:val="20"/>
          <w:lang w:eastAsia="ja-JP"/>
        </w:rPr>
      </w:pPr>
      <w:r>
        <w:rPr>
          <w:rStyle w:val="apple-converted-space"/>
          <w:bCs/>
          <w:iCs/>
          <w:szCs w:val="20"/>
          <w:lang w:eastAsia="ja-JP"/>
        </w:rPr>
        <w:t xml:space="preserve">The latest pending columns of feature component and note in FG49-5a/5b are agreeable to us. </w:t>
      </w: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i/>
          <w:szCs w:val="20"/>
          <w:lang w:eastAsia="ja-JP"/>
        </w:rPr>
        <w:t xml:space="preserve">Proposal 5: RAN1 adopts the columns of “Components” and “Notes” for FG49-5a/5b in </w:t>
      </w:r>
      <w:hyperlink r:id="rId7" w:history="1">
        <w:r>
          <w:rPr>
            <w:rStyle w:val="Hyperlink"/>
            <w:rFonts w:ascii="Times New Roman" w:hAnsi="Times New Roman" w:cs="Times New Roman"/>
            <w:b/>
            <w:i/>
            <w:color w:val="auto"/>
            <w:u w:val="none"/>
          </w:rPr>
          <w:t>R1-2312572</w:t>
        </w:r>
      </w:hyperlink>
      <w:r>
        <w:rPr>
          <w:b/>
          <w:i/>
          <w:lang w:eastAsia="zh-CN"/>
        </w:rPr>
        <w:t xml:space="preserve">. </w:t>
      </w:r>
    </w:p>
    <w:p w:rsidR="004779BC" w:rsidRDefault="004779BC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  <w:bookmarkStart w:id="2" w:name="_GoBack"/>
      <w:bookmarkEnd w:id="2"/>
    </w:p>
    <w:p w:rsidR="004779BC" w:rsidRDefault="004779BC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4779BC" w:rsidRDefault="00C338F5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4779BC" w:rsidRDefault="00C338F5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1</w:t>
      </w:r>
      <w:r>
        <w:rPr>
          <w:rStyle w:val="apple-converted-space"/>
          <w:b/>
          <w:bCs/>
          <w:i/>
          <w:iCs/>
          <w:szCs w:val="20"/>
          <w:lang w:eastAsia="ja-JP"/>
        </w:rPr>
        <w:t>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>UE is not expected to be configured with another cell to monitor PDCCH candidates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1200"/>
        </w:tabs>
        <w:spacing w:before="120" w:after="120"/>
        <w:ind w:left="12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same note is added to FG49-1b and FG49-2b. </w:t>
      </w:r>
    </w:p>
    <w:p w:rsidR="004779BC" w:rsidRDefault="004779BC">
      <w:pPr>
        <w:spacing w:after="120"/>
        <w:rPr>
          <w:rStyle w:val="apple-converted-space"/>
          <w:b/>
          <w:i/>
          <w:szCs w:val="20"/>
        </w:rPr>
      </w:pPr>
    </w:p>
    <w:p w:rsidR="004779BC" w:rsidRDefault="00C338F5">
      <w:pPr>
        <w:spacing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2: Change “[Up to]” to “Up to” i</w:t>
      </w:r>
      <w:r>
        <w:rPr>
          <w:rStyle w:val="apple-converted-space"/>
          <w:b/>
          <w:i/>
          <w:szCs w:val="20"/>
        </w:rPr>
        <w:t>n component 9 of FG49-2/2b.</w:t>
      </w:r>
    </w:p>
    <w:p w:rsidR="004779BC" w:rsidRDefault="004779BC">
      <w:pPr>
        <w:spacing w:after="120"/>
        <w:rPr>
          <w:rStyle w:val="apple-converted-space"/>
          <w:b/>
          <w:i/>
          <w:szCs w:val="20"/>
        </w:rPr>
      </w:pPr>
    </w:p>
    <w:p w:rsidR="004779BC" w:rsidRDefault="00C338F5">
      <w:pPr>
        <w:spacing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3: For FG49-3x/3y, 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1200"/>
        </w:tabs>
        <w:spacing w:after="120"/>
        <w:ind w:left="120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FG49-3x has a prerequisite as “any of {FG49-1, FG49-1b}”, and a “per BC” granularity.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1200"/>
        </w:tabs>
        <w:spacing w:after="120"/>
        <w:ind w:left="120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FG49-3y has a prerequisite as “any of {FG49-2, FG49-2b}”, and a “per BC” granularity.</w:t>
      </w:r>
    </w:p>
    <w:p w:rsidR="004779BC" w:rsidRDefault="004779BC">
      <w:pPr>
        <w:tabs>
          <w:tab w:val="left" w:pos="800"/>
        </w:tabs>
        <w:spacing w:before="120" w:after="120"/>
        <w:rPr>
          <w:rFonts w:eastAsia="MS Gothic"/>
          <w:b/>
          <w:bCs/>
          <w:i/>
          <w:iCs/>
          <w:szCs w:val="20"/>
          <w:lang w:eastAsia="ja-JP"/>
        </w:rPr>
      </w:pPr>
    </w:p>
    <w:p w:rsidR="004779BC" w:rsidRDefault="00C338F5">
      <w:pPr>
        <w:tabs>
          <w:tab w:val="left" w:pos="800"/>
        </w:tabs>
        <w:spacing w:before="12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4</w:t>
      </w:r>
      <w:r>
        <w:rPr>
          <w:rFonts w:eastAsia="MS Gothic"/>
          <w:b/>
          <w:bCs/>
          <w:i/>
          <w:iCs/>
          <w:szCs w:val="20"/>
          <w:lang w:eastAsia="ja-JP"/>
        </w:rPr>
        <w:t>: Change the ty</w:t>
      </w:r>
      <w:r>
        <w:rPr>
          <w:rFonts w:eastAsia="MS Gothic"/>
          <w:b/>
          <w:bCs/>
          <w:i/>
          <w:iCs/>
          <w:szCs w:val="20"/>
          <w:lang w:eastAsia="ja-JP"/>
        </w:rPr>
        <w:t>pe granularity from “per UE” to “per BC” for FG49-4a/4b/4c/4d.</w:t>
      </w:r>
    </w:p>
    <w:p w:rsidR="004779BC" w:rsidRDefault="00C338F5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120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If the majority preferred, add note to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FG49-4a/4b/4c/4d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>
        <w:rPr>
          <w:b/>
          <w:bCs/>
          <w:i/>
          <w:iCs/>
          <w:szCs w:val="21"/>
        </w:rPr>
        <w:t>UE supporting this FG must report the support of this FG for all the BCs reported in the prerequisite FGs</w:t>
      </w:r>
      <w:r>
        <w:rPr>
          <w:b/>
          <w:bCs/>
          <w:i/>
          <w:iCs/>
          <w:szCs w:val="21"/>
        </w:rPr>
        <w:t>.</w:t>
      </w:r>
    </w:p>
    <w:p w:rsidR="004779BC" w:rsidRDefault="004779B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</w:p>
    <w:p w:rsidR="004779BC" w:rsidRDefault="00C338F5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i/>
          <w:szCs w:val="20"/>
          <w:lang w:eastAsia="ja-JP"/>
        </w:rPr>
        <w:t xml:space="preserve">Proposal 5: RAN1 adopts the columns of “Components” and “Notes” for FG49-5a/5b in </w:t>
      </w:r>
      <w:hyperlink r:id="rId8" w:history="1">
        <w:r>
          <w:rPr>
            <w:rStyle w:val="Hyperlink"/>
            <w:rFonts w:ascii="Times New Roman" w:hAnsi="Times New Roman" w:cs="Times New Roman"/>
            <w:b/>
            <w:i/>
            <w:color w:val="auto"/>
            <w:u w:val="none"/>
          </w:rPr>
          <w:t>R1-2312572</w:t>
        </w:r>
      </w:hyperlink>
      <w:r>
        <w:rPr>
          <w:b/>
          <w:i/>
          <w:lang w:eastAsia="zh-CN"/>
        </w:rPr>
        <w:t xml:space="preserve">. </w:t>
      </w:r>
    </w:p>
    <w:p w:rsidR="004779BC" w:rsidRDefault="00C338F5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Reference</w:t>
      </w:r>
    </w:p>
    <w:p w:rsidR="004779BC" w:rsidRDefault="00C338F5">
      <w:pPr>
        <w:numPr>
          <w:ilvl w:val="0"/>
          <w:numId w:val="12"/>
        </w:numPr>
        <w:spacing w:after="40"/>
        <w:ind w:hangingChars="210"/>
        <w:rPr>
          <w:rFonts w:eastAsia="SimSun"/>
          <w:color w:val="000000"/>
          <w:szCs w:val="20"/>
          <w:lang w:eastAsia="zh-CN"/>
        </w:rPr>
      </w:pPr>
      <w:r>
        <w:rPr>
          <w:rFonts w:eastAsia="SimSun"/>
          <w:color w:val="000000"/>
          <w:szCs w:val="20"/>
          <w:lang w:eastAsia="zh-CN"/>
        </w:rPr>
        <w:t>TS 38.822 v17.1.0,  NR User Equipment (UE) feature list (Release 17)</w:t>
      </w:r>
    </w:p>
    <w:p w:rsidR="004779BC" w:rsidRDefault="00C338F5">
      <w:pPr>
        <w:numPr>
          <w:ilvl w:val="0"/>
          <w:numId w:val="12"/>
        </w:numPr>
        <w:spacing w:after="40"/>
        <w:ind w:hangingChars="210"/>
        <w:rPr>
          <w:szCs w:val="20"/>
        </w:rPr>
      </w:pPr>
      <w:bookmarkStart w:id="3" w:name="_Ref2019110949"/>
      <w:r>
        <w:rPr>
          <w:rFonts w:eastAsia="SimSun"/>
          <w:color w:val="000000"/>
          <w:szCs w:val="20"/>
          <w:lang w:eastAsia="zh-CN"/>
        </w:rPr>
        <w:t>R1-2306381(R2-2306810), Further Guidelines on</w:t>
      </w:r>
      <w:r>
        <w:rPr>
          <w:rFonts w:eastAsia="SimSun"/>
          <w:color w:val="000000"/>
          <w:szCs w:val="20"/>
          <w:lang w:eastAsia="zh-CN"/>
        </w:rPr>
        <w:t xml:space="preserve"> UE capability definitions, RAN2</w:t>
      </w:r>
      <w:bookmarkStart w:id="4" w:name="_Ref475805663"/>
      <w:bookmarkEnd w:id="3"/>
    </w:p>
    <w:bookmarkEnd w:id="4"/>
    <w:p w:rsidR="004779BC" w:rsidRDefault="004779BC">
      <w:pPr>
        <w:numPr>
          <w:ilvl w:val="0"/>
          <w:numId w:val="12"/>
        </w:numPr>
        <w:spacing w:after="40"/>
        <w:ind w:hangingChars="210"/>
        <w:rPr>
          <w:lang w:eastAsia="zh-CN"/>
        </w:rPr>
      </w:pPr>
      <w:r>
        <w:rPr>
          <w:lang w:eastAsia="zh-CN"/>
        </w:rPr>
        <w:fldChar w:fldCharType="begin"/>
      </w:r>
      <w:r w:rsidR="00C338F5">
        <w:rPr>
          <w:lang w:eastAsia="zh-CN"/>
        </w:rPr>
        <w:instrText>HYPERLINK "../Docs/R1-2312572.zip"</w:instrText>
      </w:r>
      <w:r>
        <w:rPr>
          <w:lang w:eastAsia="zh-CN"/>
        </w:rPr>
        <w:fldChar w:fldCharType="separate"/>
      </w:r>
      <w:r w:rsidR="00C338F5">
        <w:rPr>
          <w:rStyle w:val="Hyperlink"/>
          <w:rFonts w:ascii="Times New Roman" w:hAnsi="Times New Roman" w:cs="Times New Roman"/>
          <w:color w:val="auto"/>
          <w:u w:val="none"/>
        </w:rPr>
        <w:t>R1-2312572</w:t>
      </w:r>
      <w:r>
        <w:rPr>
          <w:lang w:eastAsia="zh-CN"/>
        </w:rPr>
        <w:fldChar w:fldCharType="end"/>
      </w:r>
      <w:r w:rsidR="00C338F5">
        <w:rPr>
          <w:lang w:eastAsia="zh-CN"/>
        </w:rPr>
        <w:t xml:space="preserve">, </w:t>
      </w:r>
      <w:r w:rsidR="00C338F5">
        <w:rPr>
          <w:lang w:eastAsia="zh-CN"/>
        </w:rPr>
        <w:t>Updated RAN1 UE features list for Rel-18 NR after RAN1#115</w:t>
      </w:r>
      <w:r w:rsidR="00C338F5">
        <w:rPr>
          <w:lang w:eastAsia="zh-CN"/>
        </w:rPr>
        <w:t xml:space="preserve">, </w:t>
      </w:r>
      <w:r w:rsidR="00C338F5">
        <w:rPr>
          <w:lang w:eastAsia="zh-CN"/>
        </w:rPr>
        <w:t>Moderators (AT&amp;T, NTT DOCOMO, INC.)</w:t>
      </w:r>
    </w:p>
    <w:p w:rsidR="004779BC" w:rsidRDefault="004779BC">
      <w:pPr>
        <w:spacing w:after="40"/>
        <w:ind w:leftChars="-210" w:left="-420"/>
        <w:rPr>
          <w:szCs w:val="20"/>
        </w:rPr>
      </w:pPr>
    </w:p>
    <w:p w:rsidR="004779BC" w:rsidRDefault="004779BC">
      <w:pPr>
        <w:spacing w:after="40"/>
        <w:rPr>
          <w:rFonts w:eastAsia="SimSun"/>
          <w:color w:val="000000"/>
          <w:lang w:eastAsia="zh-CN"/>
        </w:rPr>
      </w:pPr>
    </w:p>
    <w:p w:rsidR="004779BC" w:rsidRDefault="004779BC">
      <w:pPr>
        <w:rPr>
          <w:rFonts w:eastAsia="SimSun"/>
          <w:color w:val="000000"/>
          <w:lang w:eastAsia="zh-CN"/>
        </w:rPr>
      </w:pPr>
    </w:p>
    <w:p w:rsidR="004779BC" w:rsidRDefault="004779BC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</w:pPr>
    </w:p>
    <w:sectPr w:rsidR="004779BC" w:rsidSect="004779BC">
      <w:headerReference w:type="default" r:id="rId9"/>
      <w:footerReference w:type="even" r:id="rId10"/>
      <w:footerReference w:type="default" r:id="rId11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9BC" w:rsidRDefault="004779BC" w:rsidP="004779BC">
      <w:r>
        <w:separator/>
      </w:r>
    </w:p>
  </w:endnote>
  <w:endnote w:type="continuationSeparator" w:id="0">
    <w:p w:rsidR="004779BC" w:rsidRDefault="004779BC" w:rsidP="00477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9BC" w:rsidRDefault="004779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338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9BC" w:rsidRDefault="004779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5860"/>
    </w:sdtPr>
    <w:sdtContent>
      <w:p w:rsidR="004779BC" w:rsidRDefault="004779BC">
        <w:pPr>
          <w:pStyle w:val="Footer"/>
          <w:jc w:val="center"/>
        </w:pPr>
        <w:r>
          <w:fldChar w:fldCharType="begin"/>
        </w:r>
        <w:r w:rsidR="00C338F5">
          <w:instrText xml:space="preserve"> PAGE  </w:instrText>
        </w:r>
        <w:r w:rsidR="00C338F5">
          <w:instrText xml:space="preserve"> \* MERGEFORMAT </w:instrText>
        </w:r>
        <w:r>
          <w:fldChar w:fldCharType="separate"/>
        </w:r>
        <w:r w:rsidR="00C338F5">
          <w:rPr>
            <w:noProof/>
          </w:rPr>
          <w:t>2</w:t>
        </w:r>
        <w:r>
          <w:fldChar w:fldCharType="end"/>
        </w:r>
      </w:p>
    </w:sdtContent>
  </w:sdt>
  <w:p w:rsidR="004779BC" w:rsidRDefault="004779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9BC" w:rsidRDefault="004779BC" w:rsidP="004779BC">
      <w:r>
        <w:separator/>
      </w:r>
    </w:p>
  </w:footnote>
  <w:footnote w:type="continuationSeparator" w:id="0">
    <w:p w:rsidR="004779BC" w:rsidRDefault="004779BC" w:rsidP="00477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9BC" w:rsidRDefault="004779BC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937B7A8"/>
    <w:multiLevelType w:val="singleLevel"/>
    <w:tmpl w:val="3937B7A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8FE6ABCD"/>
    <w:rsid w:val="A7EF0216"/>
    <w:rsid w:val="B2B384D5"/>
    <w:rsid w:val="B7EFA944"/>
    <w:rsid w:val="BB7E8854"/>
    <w:rsid w:val="BE27B78F"/>
    <w:rsid w:val="BEE5A6FA"/>
    <w:rsid w:val="BEFB80C5"/>
    <w:rsid w:val="D9BFBADC"/>
    <w:rsid w:val="DD76A23B"/>
    <w:rsid w:val="DEFF66CE"/>
    <w:rsid w:val="EA7D4A05"/>
    <w:rsid w:val="F30F01BA"/>
    <w:rsid w:val="FAF71006"/>
    <w:rsid w:val="FBBF8574"/>
    <w:rsid w:val="FBCB4228"/>
    <w:rsid w:val="FBDF402C"/>
    <w:rsid w:val="FE578F67"/>
    <w:rsid w:val="FEFF0658"/>
    <w:rsid w:val="FF8D68A7"/>
    <w:rsid w:val="FFAF0D7A"/>
    <w:rsid w:val="FFB5B7DE"/>
    <w:rsid w:val="FFD7C3A3"/>
    <w:rsid w:val="FFDF0FD1"/>
    <w:rsid w:val="FFF79117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CAA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88F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9BC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71F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04B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18C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0C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4AE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9F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19E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6F9C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BF7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8F5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1C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1A3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58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6FFDECD"/>
    <w:rsid w:val="1EA7E6DE"/>
    <w:rsid w:val="39FE3DF7"/>
    <w:rsid w:val="39FF3F1B"/>
    <w:rsid w:val="3BDBB28C"/>
    <w:rsid w:val="3DFFB2FC"/>
    <w:rsid w:val="4FF6B127"/>
    <w:rsid w:val="4FFDEB9A"/>
    <w:rsid w:val="57796434"/>
    <w:rsid w:val="5FBFA58B"/>
    <w:rsid w:val="5FBFAEB5"/>
    <w:rsid w:val="5FF7660A"/>
    <w:rsid w:val="5FFF843D"/>
    <w:rsid w:val="6D7D72B9"/>
    <w:rsid w:val="6DDF9A58"/>
    <w:rsid w:val="6EEE9743"/>
    <w:rsid w:val="6FDD280C"/>
    <w:rsid w:val="775D5CDF"/>
    <w:rsid w:val="776DFDF9"/>
    <w:rsid w:val="77FDA5A9"/>
    <w:rsid w:val="78998E49"/>
    <w:rsid w:val="7ABFD46D"/>
    <w:rsid w:val="7BDBC597"/>
    <w:rsid w:val="7CF438D7"/>
    <w:rsid w:val="7FABA8B7"/>
    <w:rsid w:val="7FFF03FF"/>
    <w:rsid w:val="7FFFF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9BC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4779B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4779B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4779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779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79B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79B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79B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79B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4779B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779BC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4779BC"/>
    <w:rPr>
      <w:sz w:val="18"/>
      <w:szCs w:val="18"/>
    </w:rPr>
  </w:style>
  <w:style w:type="paragraph" w:styleId="BodyText2">
    <w:name w:val="Body Text 2"/>
    <w:basedOn w:val="Normal"/>
    <w:qFormat/>
    <w:rsid w:val="004779BC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4779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4779B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4779BC"/>
  </w:style>
  <w:style w:type="paragraph" w:styleId="CommentSubject">
    <w:name w:val="annotation subject"/>
    <w:basedOn w:val="CommentText"/>
    <w:next w:val="CommentText"/>
    <w:semiHidden/>
    <w:qFormat/>
    <w:rsid w:val="004779BC"/>
    <w:rPr>
      <w:b/>
      <w:bCs/>
    </w:rPr>
  </w:style>
  <w:style w:type="paragraph" w:styleId="DocumentMap">
    <w:name w:val="Document Map"/>
    <w:basedOn w:val="Normal"/>
    <w:semiHidden/>
    <w:qFormat/>
    <w:rsid w:val="004779BC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4779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4779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4779B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4779BC"/>
    <w:pPr>
      <w:ind w:left="283" w:hanging="283"/>
    </w:pPr>
  </w:style>
  <w:style w:type="paragraph" w:styleId="List2">
    <w:name w:val="List 2"/>
    <w:basedOn w:val="List"/>
    <w:qFormat/>
    <w:rsid w:val="004779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4779BC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4779B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4779B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4779B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4779BC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4779B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477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4779B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4779B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4779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4779B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4779B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4779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4779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4779B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4779B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4779B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4779B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4779B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4779B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4779B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4779BC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4779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4779B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4779B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4779B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4779B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4779B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4779B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4779B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4779B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4779B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4779BC"/>
    <w:rPr>
      <w:b/>
    </w:rPr>
  </w:style>
  <w:style w:type="paragraph" w:customStyle="1" w:styleId="TAC">
    <w:name w:val="TAC"/>
    <w:basedOn w:val="Normal"/>
    <w:link w:val="TACChar"/>
    <w:qFormat/>
    <w:rsid w:val="004779B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779B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4779B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4779B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4779B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4779B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4779B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4779BC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4779B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779B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4779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4779B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4779B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4779B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4779BC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4779B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4779B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4779BC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4779BC"/>
    <w:pPr>
      <w:ind w:left="851" w:hanging="851"/>
    </w:pPr>
  </w:style>
  <w:style w:type="paragraph" w:customStyle="1" w:styleId="LGTdoc">
    <w:name w:val="LGTdoc_본문"/>
    <w:basedOn w:val="Normal"/>
    <w:qFormat/>
    <w:rsid w:val="004779B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4779B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779BC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4779B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779B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4779BC"/>
  </w:style>
  <w:style w:type="character" w:customStyle="1" w:styleId="apple-converted-space">
    <w:name w:val="apple-converted-space"/>
    <w:qFormat/>
    <w:rsid w:val="004779BC"/>
  </w:style>
  <w:style w:type="character" w:customStyle="1" w:styleId="PlainTextChar">
    <w:name w:val="Plain Text Char"/>
    <w:link w:val="PlainText"/>
    <w:uiPriority w:val="99"/>
    <w:qFormat/>
    <w:rsid w:val="004779BC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4779B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4779BC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4779B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4779B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4779BC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4779BC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4779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4779BC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4779B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4779B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4779BC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4779B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4779BC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4779BC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4779BC"/>
  </w:style>
  <w:style w:type="character" w:customStyle="1" w:styleId="10">
    <w:name w:val="列表段落 字符1"/>
    <w:uiPriority w:val="34"/>
    <w:qFormat/>
    <w:locked/>
    <w:rsid w:val="004779BC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4779BC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4779BC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779BC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1257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../Docs/R1-2312572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989</Words>
  <Characters>5235</Characters>
  <Application>Microsoft Office Word</Application>
  <DocSecurity>0</DocSecurity>
  <Lines>43</Lines>
  <Paragraphs>12</Paragraphs>
  <ScaleCrop>false</ScaleCrop>
  <Company>OPPO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2285</cp:revision>
  <cp:lastPrinted>2007-08-25T20:45:00Z</cp:lastPrinted>
  <dcterms:created xsi:type="dcterms:W3CDTF">2021-10-26T01:40:00Z</dcterms:created>
  <dcterms:modified xsi:type="dcterms:W3CDTF">2024-02-10T06:03:00Z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1033-11.1.0.11711</vt:lpwstr>
  </property>
</Properties>
</file>